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6B90" w:rsidRPr="00EE1245" w:rsidRDefault="00846B90" w:rsidP="00846B90">
      <w:pPr>
        <w:pStyle w:val="a3"/>
        <w:tabs>
          <w:tab w:val="right" w:pos="9639"/>
        </w:tabs>
        <w:rPr>
          <w:rFonts w:cs="Arial"/>
          <w:sz w:val="24"/>
          <w:lang w:eastAsia="zh-CN"/>
        </w:rPr>
      </w:pPr>
      <w:r w:rsidRPr="00EE1245">
        <w:rPr>
          <w:rFonts w:cs="Arial"/>
          <w:sz w:val="24"/>
          <w:lang w:eastAsia="zh-CN"/>
        </w:rPr>
        <w:t>3GPP TSG-RAN WG2 Meeting #113 electronic</w:t>
      </w:r>
      <w:r w:rsidRPr="00EE1245">
        <w:rPr>
          <w:rFonts w:cs="Arial"/>
          <w:sz w:val="24"/>
          <w:lang w:eastAsia="zh-CN"/>
        </w:rPr>
        <w:tab/>
      </w:r>
      <w:r w:rsidR="009C6A25" w:rsidRPr="009C6A25">
        <w:rPr>
          <w:rFonts w:cs="Arial"/>
          <w:sz w:val="24"/>
          <w:lang w:eastAsia="zh-CN"/>
        </w:rPr>
        <w:t>R2-2101130</w:t>
      </w:r>
      <w:bookmarkStart w:id="0" w:name="_GoBack"/>
      <w:bookmarkEnd w:id="0"/>
    </w:p>
    <w:p w:rsidR="00846B90" w:rsidRDefault="00846B90" w:rsidP="00846B90">
      <w:pPr>
        <w:pStyle w:val="a3"/>
        <w:tabs>
          <w:tab w:val="right" w:pos="9639"/>
        </w:tabs>
        <w:jc w:val="both"/>
        <w:rPr>
          <w:rFonts w:cs="Arial"/>
          <w:sz w:val="24"/>
          <w:lang w:eastAsia="zh-CN"/>
        </w:rPr>
      </w:pPr>
      <w:r w:rsidRPr="00EE1245">
        <w:rPr>
          <w:rFonts w:cs="Arial"/>
          <w:sz w:val="24"/>
          <w:lang w:eastAsia="zh-CN"/>
        </w:rPr>
        <w:t>Online, Jan 25 – Feb 5, 2021</w:t>
      </w:r>
    </w:p>
    <w:p w:rsidR="00186BCD" w:rsidRPr="00846B90" w:rsidRDefault="00186BCD" w:rsidP="00F91071">
      <w:pPr>
        <w:overflowPunct w:val="0"/>
        <w:autoSpaceDE w:val="0"/>
        <w:autoSpaceDN w:val="0"/>
        <w:adjustRightInd w:val="0"/>
        <w:textAlignment w:val="baseline"/>
        <w:rPr>
          <w:rFonts w:ascii="Arial" w:hAnsi="Arial" w:cs="Arial"/>
          <w:b/>
          <w:color w:val="000000"/>
          <w:sz w:val="24"/>
          <w:szCs w:val="24"/>
        </w:rPr>
      </w:pPr>
    </w:p>
    <w:p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35483">
        <w:rPr>
          <w:rFonts w:eastAsia="宋体" w:cs="Arial"/>
          <w:b/>
          <w:bCs/>
          <w:kern w:val="2"/>
          <w:sz w:val="24"/>
          <w:szCs w:val="22"/>
          <w:lang w:val="en-US" w:eastAsia="zh-CN"/>
        </w:rPr>
        <w:t>9.2</w:t>
      </w:r>
      <w:r w:rsidR="00646CB0">
        <w:rPr>
          <w:rFonts w:eastAsia="宋体" w:cs="Arial"/>
          <w:b/>
          <w:bCs/>
          <w:kern w:val="2"/>
          <w:sz w:val="24"/>
          <w:szCs w:val="22"/>
          <w:lang w:val="en-US" w:eastAsia="zh-CN"/>
        </w:rPr>
        <w:t>.</w:t>
      </w:r>
      <w:r w:rsidR="00356EE5">
        <w:rPr>
          <w:rFonts w:eastAsia="宋体" w:cs="Arial"/>
          <w:b/>
          <w:bCs/>
          <w:kern w:val="2"/>
          <w:sz w:val="24"/>
          <w:szCs w:val="22"/>
          <w:lang w:val="en-US" w:eastAsia="zh-CN"/>
        </w:rPr>
        <w:t>2</w:t>
      </w:r>
    </w:p>
    <w:p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1" w:name="OLE_LINK1"/>
      <w:bookmarkStart w:id="2" w:name="OLE_LINK2"/>
      <w:bookmarkStart w:id="3" w:name="OLE_LINK3"/>
      <w:bookmarkStart w:id="4" w:name="OLE_LINK36"/>
      <w:r w:rsidR="00ED2EFD">
        <w:rPr>
          <w:rFonts w:ascii="Arial" w:hAnsi="Arial" w:cs="Arial" w:hint="eastAsia"/>
          <w:b/>
          <w:bCs/>
          <w:sz w:val="24"/>
        </w:rPr>
        <w:t>Lenovo</w:t>
      </w:r>
      <w:r w:rsidR="0023449A">
        <w:rPr>
          <w:rFonts w:ascii="Arial" w:hAnsi="Arial" w:cs="Arial" w:hint="eastAsia"/>
          <w:b/>
          <w:bCs/>
          <w:sz w:val="24"/>
        </w:rPr>
        <w:t>, Motorola Mobility</w:t>
      </w:r>
      <w:bookmarkEnd w:id="1"/>
      <w:bookmarkEnd w:id="2"/>
      <w:bookmarkEnd w:id="3"/>
      <w:bookmarkEnd w:id="4"/>
    </w:p>
    <w:p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356EE5" w:rsidRPr="00356EE5">
        <w:rPr>
          <w:rFonts w:ascii="Arial" w:hAnsi="Arial" w:cs="Arial"/>
          <w:b/>
          <w:bCs/>
          <w:sz w:val="24"/>
        </w:rPr>
        <w:t>Considerations on PUR in IoT NTN</w:t>
      </w:r>
    </w:p>
    <w:p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rsidR="00C04F08" w:rsidRDefault="00C04F08" w:rsidP="007B7DA9">
      <w:pPr>
        <w:rPr>
          <w:rFonts w:ascii="Times New Roman" w:hAnsi="Times New Roman"/>
          <w:sz w:val="20"/>
          <w:szCs w:val="20"/>
          <w:lang w:val="en-GB"/>
        </w:rPr>
      </w:pPr>
      <w:r>
        <w:rPr>
          <w:rFonts w:ascii="Times New Roman" w:hAnsi="Times New Roman" w:hint="eastAsia"/>
          <w:sz w:val="20"/>
          <w:szCs w:val="20"/>
          <w:lang w:val="en-GB"/>
        </w:rPr>
        <w:t>R</w:t>
      </w:r>
      <w:r>
        <w:rPr>
          <w:rFonts w:ascii="Times New Roman" w:hAnsi="Times New Roman"/>
          <w:sz w:val="20"/>
          <w:szCs w:val="20"/>
          <w:lang w:val="en-GB"/>
        </w:rPr>
        <w:t xml:space="preserve">AN2#112e made several agreements regarding </w:t>
      </w:r>
      <w:r w:rsidRPr="00C04F08">
        <w:rPr>
          <w:rFonts w:ascii="Times New Roman" w:hAnsi="Times New Roman"/>
          <w:sz w:val="20"/>
          <w:szCs w:val="20"/>
          <w:lang w:val="en-GB"/>
        </w:rPr>
        <w:t>applicability of NR NTN solutions for IoT NTN</w:t>
      </w:r>
      <w:r>
        <w:rPr>
          <w:rFonts w:ascii="Times New Roman" w:hAnsi="Times New Roman"/>
          <w:sz w:val="20"/>
          <w:szCs w:val="20"/>
          <w:lang w:val="en-GB"/>
        </w:rPr>
        <w:t xml:space="preserve">. However some </w:t>
      </w:r>
      <w:r w:rsidRPr="00C04F08">
        <w:rPr>
          <w:rFonts w:ascii="Times New Roman" w:hAnsi="Times New Roman"/>
          <w:sz w:val="20"/>
          <w:szCs w:val="20"/>
          <w:lang w:val="en-GB"/>
        </w:rPr>
        <w:t>NB-IoT/eMTC features</w:t>
      </w:r>
      <w:r>
        <w:rPr>
          <w:rFonts w:ascii="Times New Roman" w:hAnsi="Times New Roman"/>
          <w:sz w:val="20"/>
          <w:szCs w:val="20"/>
          <w:lang w:val="en-GB"/>
        </w:rPr>
        <w:t xml:space="preserve"> that may be </w:t>
      </w:r>
      <w:r>
        <w:rPr>
          <w:rFonts w:ascii="Times New Roman" w:hAnsi="Times New Roman" w:hint="eastAsia"/>
          <w:sz w:val="20"/>
          <w:szCs w:val="20"/>
          <w:lang w:val="en-GB"/>
        </w:rPr>
        <w:t>beneficial</w:t>
      </w:r>
      <w:r>
        <w:rPr>
          <w:rFonts w:ascii="Times New Roman" w:hAnsi="Times New Roman"/>
          <w:sz w:val="20"/>
          <w:szCs w:val="20"/>
          <w:lang w:val="en-GB"/>
        </w:rPr>
        <w:t xml:space="preserve"> </w:t>
      </w:r>
      <w:r>
        <w:rPr>
          <w:rFonts w:ascii="Times New Roman" w:hAnsi="Times New Roman" w:hint="eastAsia"/>
          <w:sz w:val="20"/>
          <w:szCs w:val="20"/>
          <w:lang w:val="en-GB"/>
        </w:rPr>
        <w:t>in</w:t>
      </w:r>
      <w:r>
        <w:rPr>
          <w:rFonts w:ascii="Times New Roman" w:hAnsi="Times New Roman"/>
          <w:sz w:val="20"/>
          <w:szCs w:val="20"/>
          <w:lang w:val="en-GB"/>
        </w:rPr>
        <w:t xml:space="preserve"> </w:t>
      </w:r>
      <w:r>
        <w:rPr>
          <w:rFonts w:ascii="Times New Roman" w:hAnsi="Times New Roman" w:hint="eastAsia"/>
          <w:sz w:val="20"/>
          <w:szCs w:val="20"/>
          <w:lang w:val="en-GB"/>
        </w:rPr>
        <w:t>NTN</w:t>
      </w:r>
      <w:r>
        <w:rPr>
          <w:rFonts w:ascii="Times New Roman" w:hAnsi="Times New Roman"/>
          <w:sz w:val="20"/>
          <w:szCs w:val="20"/>
          <w:lang w:val="en-GB"/>
        </w:rPr>
        <w:t xml:space="preserve"> has not been discussed. In this contribution we give further discussion on applying small data transmission including preconfigured uplink grant (PUR) in </w:t>
      </w:r>
      <w:r w:rsidR="000A1D50">
        <w:rPr>
          <w:rFonts w:ascii="Times New Roman" w:hAnsi="Times New Roman"/>
          <w:sz w:val="20"/>
          <w:szCs w:val="20"/>
          <w:lang w:val="en-GB"/>
        </w:rPr>
        <w:t xml:space="preserve">IoT </w:t>
      </w:r>
      <w:r>
        <w:rPr>
          <w:rFonts w:ascii="Times New Roman" w:hAnsi="Times New Roman"/>
          <w:sz w:val="20"/>
          <w:szCs w:val="20"/>
          <w:lang w:val="en-GB"/>
        </w:rPr>
        <w:t>NTN.</w:t>
      </w:r>
    </w:p>
    <w:p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rsidR="00C04F08" w:rsidRPr="00C04F08" w:rsidRDefault="000A1D50" w:rsidP="001611A3">
      <w:pPr>
        <w:rPr>
          <w:rFonts w:ascii="Times New Roman" w:hAnsi="Times New Roman"/>
          <w:sz w:val="20"/>
          <w:szCs w:val="20"/>
          <w:lang w:val="en-GB"/>
        </w:rPr>
      </w:pPr>
      <w:r w:rsidRPr="00C04F08">
        <w:rPr>
          <w:rFonts w:ascii="Times New Roman" w:hAnsi="Times New Roman"/>
          <w:sz w:val="20"/>
          <w:szCs w:val="20"/>
          <w:lang w:val="en-GB"/>
        </w:rPr>
        <w:t>For small data transmission, early data transmission (EDT) functionality can improve transmission efficiency and minimi</w:t>
      </w:r>
      <w:r>
        <w:rPr>
          <w:rFonts w:ascii="Times New Roman" w:hAnsi="Times New Roman"/>
          <w:sz w:val="20"/>
          <w:szCs w:val="20"/>
          <w:lang w:val="en-GB"/>
        </w:rPr>
        <w:t>z</w:t>
      </w:r>
      <w:r w:rsidRPr="00C04F08">
        <w:rPr>
          <w:rFonts w:ascii="Times New Roman" w:hAnsi="Times New Roman"/>
          <w:sz w:val="20"/>
          <w:szCs w:val="20"/>
          <w:lang w:val="en-GB"/>
        </w:rPr>
        <w:t>e the energy consumption.</w:t>
      </w:r>
      <w:r>
        <w:rPr>
          <w:rFonts w:ascii="Times New Roman" w:hAnsi="Times New Roman"/>
          <w:sz w:val="20"/>
          <w:szCs w:val="20"/>
          <w:lang w:val="en-GB"/>
        </w:rPr>
        <w:t xml:space="preserve"> </w:t>
      </w:r>
      <w:r w:rsidR="00C04F08" w:rsidRPr="00C04F08">
        <w:rPr>
          <w:rFonts w:ascii="Times New Roman" w:hAnsi="Times New Roman"/>
          <w:sz w:val="20"/>
          <w:szCs w:val="20"/>
          <w:lang w:val="en-GB"/>
        </w:rPr>
        <w:t xml:space="preserve">As the energy consumption is </w:t>
      </w:r>
      <w:r>
        <w:rPr>
          <w:rFonts w:ascii="Times New Roman" w:hAnsi="Times New Roman"/>
          <w:sz w:val="20"/>
          <w:szCs w:val="20"/>
          <w:lang w:val="en-GB"/>
        </w:rPr>
        <w:t xml:space="preserve">also </w:t>
      </w:r>
      <w:r w:rsidR="00C04F08" w:rsidRPr="00C04F08">
        <w:rPr>
          <w:rFonts w:ascii="Times New Roman" w:hAnsi="Times New Roman"/>
          <w:sz w:val="20"/>
          <w:szCs w:val="20"/>
          <w:lang w:val="en-GB"/>
        </w:rPr>
        <w:t>key feature for IoT NTN, the</w:t>
      </w:r>
      <w:r w:rsidRPr="000A1D50">
        <w:rPr>
          <w:rFonts w:ascii="Times New Roman" w:hAnsi="Times New Roman"/>
          <w:sz w:val="20"/>
          <w:szCs w:val="20"/>
          <w:lang w:val="en-GB"/>
        </w:rPr>
        <w:t xml:space="preserve"> </w:t>
      </w:r>
      <w:r w:rsidRPr="00C04F08">
        <w:rPr>
          <w:rFonts w:ascii="Times New Roman" w:hAnsi="Times New Roman"/>
          <w:sz w:val="20"/>
          <w:szCs w:val="20"/>
          <w:lang w:val="en-GB"/>
        </w:rPr>
        <w:t>small data</w:t>
      </w:r>
      <w:r w:rsidR="00C04F08" w:rsidRPr="00C04F08">
        <w:rPr>
          <w:rFonts w:ascii="Times New Roman" w:hAnsi="Times New Roman"/>
          <w:sz w:val="20"/>
          <w:szCs w:val="20"/>
          <w:lang w:val="en-GB"/>
        </w:rPr>
        <w:t xml:space="preserve"> features </w:t>
      </w:r>
      <w:r>
        <w:rPr>
          <w:rFonts w:ascii="Times New Roman" w:hAnsi="Times New Roman"/>
          <w:sz w:val="20"/>
          <w:szCs w:val="20"/>
          <w:lang w:val="en-GB"/>
        </w:rPr>
        <w:t xml:space="preserve">including PUR are </w:t>
      </w:r>
      <w:r w:rsidR="00C04F08" w:rsidRPr="00C04F08">
        <w:rPr>
          <w:rFonts w:ascii="Times New Roman" w:hAnsi="Times New Roman"/>
          <w:sz w:val="20"/>
          <w:szCs w:val="20"/>
          <w:lang w:val="en-GB"/>
        </w:rPr>
        <w:t>also expected to be applicable.</w:t>
      </w:r>
    </w:p>
    <w:p w:rsidR="00C04F08" w:rsidRPr="00C04F08" w:rsidRDefault="00C04F08" w:rsidP="00C04F08">
      <w:pPr>
        <w:widowControl/>
        <w:overflowPunct w:val="0"/>
        <w:autoSpaceDE w:val="0"/>
        <w:autoSpaceDN w:val="0"/>
        <w:adjustRightInd w:val="0"/>
        <w:spacing w:beforeLines="50" w:before="156" w:afterLines="50" w:after="156"/>
        <w:textAlignment w:val="baseline"/>
        <w:rPr>
          <w:rFonts w:ascii="Times New Roman" w:hAnsi="Times New Roman"/>
          <w:kern w:val="0"/>
          <w:sz w:val="20"/>
          <w:szCs w:val="20"/>
        </w:rPr>
      </w:pPr>
      <w:r w:rsidRPr="00C04F08">
        <w:rPr>
          <w:rFonts w:ascii="Times New Roman" w:hAnsi="Times New Roman"/>
          <w:kern w:val="0"/>
          <w:sz w:val="20"/>
          <w:szCs w:val="20"/>
        </w:rPr>
        <w:t>Transmission using PUR allows one uplink transmission from IDLE using a preconfigured uplink resource without performing the random access procedure. eNB can enable PUR if supported by the eNB and the UE. The UE may request to be configured with a PUR or to have a PUR configuration released while in CONNECTED mode. The eNB may decide to configure a PUR based on UE's request, UE's subscription information and/or local policy.</w:t>
      </w:r>
      <w:r w:rsidRPr="00C04F08">
        <w:rPr>
          <w:rFonts w:ascii="Times New Roman" w:hAnsi="Times New Roman" w:hint="eastAsia"/>
          <w:kern w:val="0"/>
          <w:sz w:val="20"/>
          <w:szCs w:val="20"/>
        </w:rPr>
        <w:t xml:space="preserve"> </w:t>
      </w:r>
      <w:r w:rsidRPr="00C04F08">
        <w:rPr>
          <w:rFonts w:ascii="Times New Roman" w:hAnsi="Times New Roman"/>
          <w:kern w:val="0"/>
          <w:sz w:val="20"/>
          <w:szCs w:val="20"/>
        </w:rPr>
        <w:t xml:space="preserve">In the current 3GPP Rel-16 </w:t>
      </w:r>
      <w:r w:rsidRPr="00C04F08">
        <w:rPr>
          <w:rFonts w:ascii="Times New Roman" w:hAnsi="Times New Roman" w:hint="eastAsia"/>
          <w:kern w:val="0"/>
          <w:sz w:val="20"/>
          <w:szCs w:val="20"/>
        </w:rPr>
        <w:t>specifications</w:t>
      </w:r>
      <w:r w:rsidRPr="00C04F08">
        <w:rPr>
          <w:rFonts w:ascii="Times New Roman" w:hAnsi="Times New Roman"/>
          <w:kern w:val="0"/>
          <w:sz w:val="20"/>
          <w:szCs w:val="20"/>
        </w:rPr>
        <w:t>, PUR configuration is only valid in the cell where the configuration was received. According to TS36.300, procedures of PUR configuration is shown in Figure 1.</w:t>
      </w:r>
    </w:p>
    <w:p w:rsidR="00C04F08" w:rsidRPr="00C04F08" w:rsidRDefault="00C04F08" w:rsidP="00C04F08">
      <w:pPr>
        <w:widowControl/>
        <w:overflowPunct w:val="0"/>
        <w:autoSpaceDE w:val="0"/>
        <w:autoSpaceDN w:val="0"/>
        <w:adjustRightInd w:val="0"/>
        <w:spacing w:beforeLines="50" w:before="156" w:afterLines="50" w:after="156"/>
        <w:jc w:val="center"/>
        <w:textAlignment w:val="baseline"/>
        <w:rPr>
          <w:rFonts w:ascii="Arial" w:eastAsia="Times New Roman" w:hAnsi="Arial"/>
          <w:b/>
          <w:kern w:val="0"/>
          <w:sz w:val="20"/>
          <w:szCs w:val="20"/>
          <w:lang w:val="en-GB" w:eastAsia="ja-JP"/>
        </w:rPr>
      </w:pPr>
      <w:r w:rsidRPr="00C04F08">
        <w:rPr>
          <w:rFonts w:ascii="Arial" w:eastAsia="Times New Roman" w:hAnsi="Arial"/>
          <w:b/>
          <w:kern w:val="0"/>
          <w:sz w:val="20"/>
          <w:szCs w:val="20"/>
          <w:lang w:val="en-GB" w:eastAsia="ja-JP"/>
        </w:rPr>
        <w:object w:dxaOrig="8775" w:dyaOrig="3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55pt;height:120pt" o:ole="">
            <v:imagedata r:id="rId8" o:title=""/>
          </v:shape>
          <o:OLEObject Type="Embed" ProgID="Visio.Drawing.15" ShapeID="_x0000_i1025" DrawAspect="Content" ObjectID="_1672205482" r:id="rId9"/>
        </w:object>
      </w:r>
    </w:p>
    <w:p w:rsidR="00C04F08" w:rsidRPr="00C04F08" w:rsidRDefault="00C04F08" w:rsidP="00C04F08">
      <w:pPr>
        <w:widowControl/>
        <w:overflowPunct w:val="0"/>
        <w:autoSpaceDE w:val="0"/>
        <w:autoSpaceDN w:val="0"/>
        <w:adjustRightInd w:val="0"/>
        <w:spacing w:beforeLines="50" w:before="156" w:afterLines="50" w:after="156"/>
        <w:jc w:val="center"/>
        <w:textAlignment w:val="baseline"/>
        <w:rPr>
          <w:rFonts w:ascii="Times New Roman" w:eastAsia="Times New Roman" w:hAnsi="Times New Roman"/>
          <w:b/>
          <w:bCs/>
          <w:kern w:val="0"/>
          <w:sz w:val="20"/>
          <w:szCs w:val="20"/>
          <w:lang w:val="en-GB" w:eastAsia="en-US"/>
        </w:rPr>
      </w:pPr>
      <w:r w:rsidRPr="00C04F08">
        <w:rPr>
          <w:rFonts w:ascii="Times New Roman" w:eastAsia="Times New Roman" w:hAnsi="Times New Roman"/>
          <w:b/>
          <w:bCs/>
          <w:kern w:val="0"/>
          <w:sz w:val="20"/>
          <w:szCs w:val="20"/>
          <w:lang w:val="en-GB" w:eastAsia="en-US"/>
        </w:rPr>
        <w:t>Figure 1: PUR Configuration Request and PUR Configuration</w:t>
      </w:r>
    </w:p>
    <w:p w:rsidR="00C04F08" w:rsidRPr="00C04F08" w:rsidRDefault="00C04F08" w:rsidP="00C04F08">
      <w:pPr>
        <w:rPr>
          <w:rFonts w:ascii="Times New Roman" w:hAnsi="Times New Roman"/>
          <w:kern w:val="0"/>
          <w:sz w:val="20"/>
          <w:szCs w:val="20"/>
        </w:rPr>
      </w:pPr>
      <w:r w:rsidRPr="00C04F08">
        <w:rPr>
          <w:rFonts w:ascii="Times New Roman" w:hAnsi="Times New Roman"/>
          <w:kern w:val="0"/>
          <w:sz w:val="20"/>
          <w:szCs w:val="20"/>
        </w:rPr>
        <w:t>The PUR configuration can be implicitly released at the UE and (ng-)eNB, when the UE accesses in another cell, when PUR is no longer enabled in the cell, or when the PUR resource has not been used for a configured number of consecutive occasions.</w:t>
      </w:r>
      <w:r>
        <w:rPr>
          <w:rFonts w:ascii="Times New Roman" w:hAnsi="Times New Roman" w:hint="eastAsia"/>
          <w:kern w:val="0"/>
          <w:sz w:val="20"/>
          <w:szCs w:val="20"/>
        </w:rPr>
        <w:t xml:space="preserve"> </w:t>
      </w:r>
      <w:r w:rsidRPr="00C04F08">
        <w:rPr>
          <w:rFonts w:ascii="Times New Roman" w:hAnsi="Times New Roman"/>
          <w:kern w:val="0"/>
          <w:sz w:val="20"/>
          <w:szCs w:val="20"/>
        </w:rPr>
        <w:t>For now transmission using PUR is applicable to NB-IoT UEs.</w:t>
      </w:r>
    </w:p>
    <w:p w:rsidR="00C04F08" w:rsidRDefault="00C04F08" w:rsidP="001611A3">
      <w:pPr>
        <w:rPr>
          <w:rFonts w:ascii="Times New Roman" w:hAnsi="Times New Roman"/>
          <w:sz w:val="20"/>
          <w:szCs w:val="20"/>
          <w:lang w:val="en-GB"/>
        </w:rPr>
      </w:pPr>
      <w:r w:rsidRPr="00C04F08">
        <w:rPr>
          <w:rFonts w:ascii="Times New Roman" w:hAnsi="Times New Roman"/>
          <w:sz w:val="20"/>
          <w:szCs w:val="20"/>
          <w:lang w:val="en-GB"/>
        </w:rPr>
        <w:t>The UE in NTN can use PUR (and other PUR-like mechanisms) for small data packet transmission/reception to skip random access and avoid transition to CONNECTED. As a result the signalling overhead, UE power consumption and latency for completing data transmission can be reduced. The main challenges using PUR in NTN are satellite movement and propagation delay.</w:t>
      </w:r>
    </w:p>
    <w:p w:rsidR="00C04F08" w:rsidRPr="004E0A14" w:rsidRDefault="00C04F08" w:rsidP="00C04F08">
      <w:pPr>
        <w:rPr>
          <w:rFonts w:ascii="Times New Roman" w:hAnsi="Times New Roman"/>
          <w:b/>
          <w:bCs/>
          <w:sz w:val="20"/>
          <w:szCs w:val="20"/>
          <w:lang w:val="en-GB"/>
        </w:rPr>
      </w:pPr>
      <w:r w:rsidRPr="00C04F08">
        <w:rPr>
          <w:rFonts w:ascii="Times New Roman" w:hAnsi="Times New Roman" w:hint="eastAsia"/>
          <w:b/>
          <w:bCs/>
          <w:sz w:val="20"/>
          <w:szCs w:val="20"/>
          <w:lang w:val="en-GB"/>
        </w:rPr>
        <w:t>O</w:t>
      </w:r>
      <w:r w:rsidRPr="00C04F08">
        <w:rPr>
          <w:rFonts w:ascii="Times New Roman" w:hAnsi="Times New Roman"/>
          <w:b/>
          <w:bCs/>
          <w:sz w:val="20"/>
          <w:szCs w:val="20"/>
          <w:lang w:val="en-GB"/>
        </w:rPr>
        <w:t xml:space="preserve">bservation 1: </w:t>
      </w:r>
      <w:r>
        <w:rPr>
          <w:rFonts w:ascii="Times New Roman" w:hAnsi="Times New Roman"/>
          <w:b/>
          <w:bCs/>
          <w:sz w:val="20"/>
          <w:szCs w:val="20"/>
          <w:lang w:val="en-GB"/>
        </w:rPr>
        <w:t>PUR</w:t>
      </w:r>
      <w:r w:rsidRPr="004E0A14">
        <w:rPr>
          <w:rFonts w:ascii="Times New Roman" w:hAnsi="Times New Roman"/>
          <w:b/>
          <w:bCs/>
          <w:sz w:val="20"/>
          <w:szCs w:val="20"/>
          <w:lang w:val="en-GB"/>
        </w:rPr>
        <w:t xml:space="preserve"> can be </w:t>
      </w:r>
      <w:r w:rsidRPr="004E0A14">
        <w:rPr>
          <w:rFonts w:ascii="Times New Roman" w:hAnsi="Times New Roman" w:hint="eastAsia"/>
          <w:b/>
          <w:bCs/>
          <w:sz w:val="20"/>
          <w:szCs w:val="20"/>
          <w:lang w:val="en-GB"/>
        </w:rPr>
        <w:t>beneficial</w:t>
      </w:r>
      <w:r w:rsidRPr="004E0A14">
        <w:rPr>
          <w:rFonts w:ascii="Times New Roman" w:hAnsi="Times New Roman"/>
          <w:b/>
          <w:bCs/>
          <w:sz w:val="20"/>
          <w:szCs w:val="20"/>
          <w:lang w:val="en-GB"/>
        </w:rPr>
        <w:t xml:space="preserve"> </w:t>
      </w:r>
      <w:r w:rsidRPr="004E0A14">
        <w:rPr>
          <w:rFonts w:ascii="Times New Roman" w:hAnsi="Times New Roman" w:hint="eastAsia"/>
          <w:b/>
          <w:bCs/>
          <w:sz w:val="20"/>
          <w:szCs w:val="20"/>
          <w:lang w:val="en-GB"/>
        </w:rPr>
        <w:t>to</w:t>
      </w:r>
      <w:r w:rsidRPr="004E0A14">
        <w:rPr>
          <w:rFonts w:ascii="Times New Roman" w:hAnsi="Times New Roman"/>
          <w:b/>
          <w:bCs/>
          <w:sz w:val="20"/>
          <w:szCs w:val="20"/>
          <w:lang w:val="en-GB"/>
        </w:rPr>
        <w:t xml:space="preserve"> </w:t>
      </w:r>
      <w:r>
        <w:rPr>
          <w:rFonts w:ascii="Times New Roman" w:hAnsi="Times New Roman"/>
          <w:b/>
          <w:bCs/>
          <w:sz w:val="20"/>
          <w:szCs w:val="20"/>
          <w:lang w:val="en-GB"/>
        </w:rPr>
        <w:t xml:space="preserve">reduce </w:t>
      </w:r>
      <w:r w:rsidR="000A1D50">
        <w:rPr>
          <w:rFonts w:ascii="Times New Roman" w:hAnsi="Times New Roman"/>
          <w:b/>
          <w:bCs/>
          <w:sz w:val="20"/>
          <w:szCs w:val="20"/>
          <w:lang w:val="en-GB"/>
        </w:rPr>
        <w:t xml:space="preserve">data transmission/reception </w:t>
      </w:r>
      <w:r w:rsidRPr="004E0A14">
        <w:rPr>
          <w:rFonts w:ascii="Times New Roman" w:hAnsi="Times New Roman"/>
          <w:b/>
          <w:bCs/>
          <w:sz w:val="20"/>
          <w:szCs w:val="20"/>
          <w:lang w:val="en-GB"/>
        </w:rPr>
        <w:t xml:space="preserve">for </w:t>
      </w:r>
      <w:r w:rsidRPr="004E0A14">
        <w:rPr>
          <w:rFonts w:ascii="Times New Roman" w:hAnsi="Times New Roman" w:hint="eastAsia"/>
          <w:b/>
          <w:bCs/>
          <w:sz w:val="20"/>
          <w:szCs w:val="20"/>
          <w:lang w:val="en-GB"/>
        </w:rPr>
        <w:t>IoT</w:t>
      </w:r>
      <w:r w:rsidRPr="004E0A14">
        <w:rPr>
          <w:rFonts w:ascii="Times New Roman" w:hAnsi="Times New Roman"/>
          <w:b/>
          <w:bCs/>
          <w:sz w:val="20"/>
          <w:szCs w:val="20"/>
          <w:lang w:val="en-GB"/>
        </w:rPr>
        <w:t xml:space="preserve"> </w:t>
      </w:r>
      <w:r w:rsidRPr="004E0A14">
        <w:rPr>
          <w:rFonts w:ascii="Times New Roman" w:hAnsi="Times New Roman" w:hint="eastAsia"/>
          <w:b/>
          <w:bCs/>
          <w:sz w:val="20"/>
          <w:szCs w:val="20"/>
          <w:lang w:val="en-GB"/>
        </w:rPr>
        <w:t>NTN</w:t>
      </w:r>
      <w:r w:rsidRPr="004E0A14">
        <w:rPr>
          <w:rFonts w:ascii="Times New Roman" w:hAnsi="Times New Roman"/>
          <w:b/>
          <w:bCs/>
          <w:sz w:val="20"/>
          <w:szCs w:val="20"/>
          <w:lang w:val="en-GB"/>
        </w:rPr>
        <w:t>.</w:t>
      </w:r>
    </w:p>
    <w:p w:rsidR="00C04F08" w:rsidRDefault="000A1D50" w:rsidP="001611A3">
      <w:pPr>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o apply PUR in NTN, the following issues can be studied:</w:t>
      </w:r>
    </w:p>
    <w:p w:rsidR="000A1D50" w:rsidRPr="000A1D50" w:rsidRDefault="000A1D50" w:rsidP="000A1D50">
      <w:pPr>
        <w:pStyle w:val="a6"/>
        <w:numPr>
          <w:ilvl w:val="0"/>
          <w:numId w:val="38"/>
        </w:numPr>
        <w:spacing w:after="0"/>
        <w:ind w:firstLineChars="0"/>
      </w:pPr>
      <w:r w:rsidRPr="000A1D50">
        <w:lastRenderedPageBreak/>
        <w:t>For NTN LEO, there could be cell change due to satellite movement, even if the UE is static on the Earth. If a UE uploads data every few minutes, the PUR configuration may still work as the cell is available. However, if a UE uploads data every few hours (e.g. every time a satellite orbits back to cover the same area), it may not be able to benefit from PUR due to that cell change probably leads to implicit release of PUR configuration. Cell change led by node movement will cause possible release of PUR configuration, as a result PUR is valid only when the configuring cell is continuously available. This restriction limits uplink transmission using preconfigured radio resource when the cell moves.</w:t>
      </w:r>
    </w:p>
    <w:p w:rsidR="000A1D50" w:rsidRPr="000A1D50" w:rsidRDefault="000A1D50" w:rsidP="000A1D50">
      <w:pPr>
        <w:pStyle w:val="a6"/>
        <w:numPr>
          <w:ilvl w:val="0"/>
          <w:numId w:val="38"/>
        </w:numPr>
        <w:spacing w:after="0"/>
        <w:ind w:firstLineChars="0"/>
      </w:pPr>
      <w:r w:rsidRPr="000A1D50">
        <w:t xml:space="preserve">As PUR is configured in CONNECTED, the network knows the timing advance (TA) of the UE and may take it into consideration when configuring PUR and scheduling reception window. However, satellite movement also leads to propagation delay variation. Although the value range of </w:t>
      </w:r>
      <w:r w:rsidRPr="000A1D50">
        <w:rPr>
          <w:i/>
          <w:iCs/>
        </w:rPr>
        <w:t>pur-TimeAlignmentTimer</w:t>
      </w:r>
      <w:r w:rsidRPr="000A1D50">
        <w:t xml:space="preserve"> is </w:t>
      </w:r>
      <w:proofErr w:type="gramStart"/>
      <w:r w:rsidRPr="000A1D50">
        <w:t>sufficient</w:t>
      </w:r>
      <w:proofErr w:type="gramEnd"/>
      <w:r w:rsidRPr="000A1D50">
        <w:t xml:space="preserve"> for NTN, the UE still needs to maintain an accurate TA until the configured PUR occasion so that the network can identify the PUR used by the UE and receive data at the right time. Besides, UE needs to know whether the network schedules reception window considering the propagation delay at the time when configuring PUR.</w:t>
      </w:r>
    </w:p>
    <w:p w:rsidR="000A1D50" w:rsidRPr="000A1D50" w:rsidRDefault="000A1D50" w:rsidP="000A1D50">
      <w:pPr>
        <w:pStyle w:val="a6"/>
        <w:numPr>
          <w:ilvl w:val="0"/>
          <w:numId w:val="38"/>
        </w:numPr>
        <w:spacing w:after="0"/>
        <w:ind w:firstLineChars="0"/>
      </w:pPr>
      <w:r w:rsidRPr="000A1D50">
        <w:t xml:space="preserve">Another character of NTN is stable orbit of satellite operation which makes the cell movement and/or appearance predictable. Theoretically all satellites that may serve the UE can configure PUR to omit random access. However according to the current specification configuration of PUR is limited to the configuring cell, and therefore UE at least </w:t>
      </w:r>
      <w:proofErr w:type="gramStart"/>
      <w:r w:rsidRPr="000A1D50">
        <w:t>has to</w:t>
      </w:r>
      <w:proofErr w:type="gramEnd"/>
      <w:r w:rsidRPr="000A1D50">
        <w:t xml:space="preserve"> initiate random access once in each cell to obtain PUR configuration.</w:t>
      </w:r>
    </w:p>
    <w:p w:rsidR="000A1D50" w:rsidRPr="000A1D50" w:rsidRDefault="000A1D50" w:rsidP="000A1D50">
      <w:pPr>
        <w:pStyle w:val="a6"/>
        <w:numPr>
          <w:ilvl w:val="0"/>
          <w:numId w:val="38"/>
        </w:numPr>
        <w:spacing w:after="0"/>
        <w:ind w:firstLineChars="0"/>
      </w:pPr>
      <w:r w:rsidRPr="000A1D50">
        <w:t xml:space="preserve">According to TS36.321, after transmission using PUR, the MAC entity shall monitor PDCCH identified by PUR-RNTI in the PUR response window using timer </w:t>
      </w:r>
      <w:r w:rsidRPr="000A1D50">
        <w:rPr>
          <w:i/>
          <w:iCs/>
        </w:rPr>
        <w:t>pur-ResponseWindowTimer</w:t>
      </w:r>
      <w:r w:rsidRPr="000A1D50">
        <w:t xml:space="preserve">, which starts at the subframe that contains the end of the corresponding PUSCH transmission, plus 4 subframes (4ms), and has the length </w:t>
      </w:r>
      <w:r w:rsidRPr="000A1D50">
        <w:rPr>
          <w:i/>
          <w:iCs/>
        </w:rPr>
        <w:t>pur-ResponseWindowSize</w:t>
      </w:r>
      <w:r w:rsidRPr="000A1D50">
        <w:t>. Despite of that the round-trip propagation delay of NTN (12.89ms~541.46ms) can be included in the configurable range of PUR response window, it is unnecessary to configure a large PUR response window to cover such delay. Enhancement for appropriate PUR window configuration could be useful e.g. to skip monitoring in the inevitable propagation delay for less power consumption.</w:t>
      </w:r>
    </w:p>
    <w:p w:rsidR="000A1D50" w:rsidRPr="000A1D50" w:rsidRDefault="000A1D50" w:rsidP="007144DB">
      <w:pPr>
        <w:rPr>
          <w:rFonts w:ascii="Times New Roman" w:hAnsi="Times New Roman"/>
          <w:b/>
          <w:bCs/>
          <w:sz w:val="20"/>
          <w:szCs w:val="20"/>
          <w:lang w:val="en-GB"/>
        </w:rPr>
      </w:pPr>
      <w:r w:rsidRPr="000A1D50">
        <w:rPr>
          <w:rFonts w:ascii="Times New Roman" w:hAnsi="Times New Roman"/>
          <w:b/>
          <w:bCs/>
          <w:sz w:val="20"/>
          <w:szCs w:val="20"/>
          <w:lang w:val="en-GB"/>
        </w:rPr>
        <w:t>Observation</w:t>
      </w:r>
      <w:r>
        <w:rPr>
          <w:rFonts w:ascii="Times New Roman" w:hAnsi="Times New Roman"/>
          <w:b/>
          <w:bCs/>
          <w:sz w:val="20"/>
          <w:szCs w:val="20"/>
          <w:lang w:val="en-GB"/>
        </w:rPr>
        <w:t xml:space="preserve"> 2</w:t>
      </w:r>
      <w:r w:rsidRPr="000A1D50">
        <w:rPr>
          <w:rFonts w:ascii="Times New Roman" w:hAnsi="Times New Roman"/>
          <w:b/>
          <w:bCs/>
          <w:sz w:val="20"/>
          <w:szCs w:val="20"/>
          <w:lang w:val="en-GB"/>
        </w:rPr>
        <w:t xml:space="preserve">: </w:t>
      </w:r>
      <w:r>
        <w:rPr>
          <w:rFonts w:ascii="Times New Roman" w:hAnsi="Times New Roman"/>
          <w:b/>
          <w:bCs/>
          <w:sz w:val="20"/>
          <w:szCs w:val="20"/>
          <w:lang w:val="en-GB"/>
        </w:rPr>
        <w:t xml:space="preserve">Enhancements for using </w:t>
      </w:r>
      <w:r w:rsidRPr="000A1D50">
        <w:rPr>
          <w:rFonts w:ascii="Times New Roman" w:hAnsi="Times New Roman"/>
          <w:b/>
          <w:bCs/>
          <w:sz w:val="20"/>
          <w:szCs w:val="20"/>
          <w:lang w:val="en-GB"/>
        </w:rPr>
        <w:t xml:space="preserve">PUR </w:t>
      </w:r>
      <w:r>
        <w:rPr>
          <w:rFonts w:ascii="Times New Roman" w:hAnsi="Times New Roman"/>
          <w:b/>
          <w:bCs/>
          <w:sz w:val="20"/>
          <w:szCs w:val="20"/>
          <w:lang w:val="en-GB"/>
        </w:rPr>
        <w:t>are needed in</w:t>
      </w:r>
      <w:r w:rsidRPr="000A1D50">
        <w:rPr>
          <w:rFonts w:ascii="Times New Roman" w:hAnsi="Times New Roman"/>
          <w:b/>
          <w:bCs/>
          <w:sz w:val="20"/>
          <w:szCs w:val="20"/>
          <w:lang w:val="en-GB"/>
        </w:rPr>
        <w:t xml:space="preserve"> IoT NTN.</w:t>
      </w:r>
    </w:p>
    <w:p w:rsidR="00E75295" w:rsidRPr="00E75295" w:rsidRDefault="00E75295" w:rsidP="007144DB">
      <w:pPr>
        <w:rPr>
          <w:rFonts w:ascii="Times New Roman" w:hAnsi="Times New Roman"/>
          <w:b/>
          <w:bCs/>
          <w:sz w:val="20"/>
          <w:szCs w:val="20"/>
          <w:lang w:val="en-GB"/>
        </w:rPr>
      </w:pPr>
      <w:r w:rsidRPr="00E75295">
        <w:rPr>
          <w:rFonts w:ascii="Times New Roman" w:hAnsi="Times New Roman" w:hint="eastAsia"/>
          <w:b/>
          <w:bCs/>
          <w:sz w:val="20"/>
          <w:szCs w:val="20"/>
          <w:lang w:val="en-GB"/>
        </w:rPr>
        <w:t>P</w:t>
      </w:r>
      <w:r w:rsidRPr="00E75295">
        <w:rPr>
          <w:rFonts w:ascii="Times New Roman" w:hAnsi="Times New Roman"/>
          <w:b/>
          <w:bCs/>
          <w:sz w:val="20"/>
          <w:szCs w:val="20"/>
          <w:lang w:val="en-GB"/>
        </w:rPr>
        <w:t xml:space="preserve">roposal 1: RAN2 to </w:t>
      </w:r>
      <w:r w:rsidR="000A1D50">
        <w:rPr>
          <w:rFonts w:ascii="Times New Roman" w:hAnsi="Times New Roman"/>
          <w:b/>
          <w:bCs/>
          <w:sz w:val="20"/>
          <w:szCs w:val="20"/>
          <w:lang w:val="en-GB"/>
        </w:rPr>
        <w:t>consider support of PUR</w:t>
      </w:r>
      <w:r w:rsidRPr="00E75295">
        <w:rPr>
          <w:rFonts w:ascii="Times New Roman" w:hAnsi="Times New Roman"/>
          <w:b/>
          <w:bCs/>
          <w:sz w:val="20"/>
          <w:szCs w:val="20"/>
          <w:lang w:val="en-GB"/>
        </w:rPr>
        <w:t xml:space="preserve"> in IoT NTN</w:t>
      </w:r>
      <w:r w:rsidR="000A1D50">
        <w:rPr>
          <w:rFonts w:ascii="Times New Roman" w:hAnsi="Times New Roman"/>
          <w:b/>
          <w:bCs/>
          <w:sz w:val="20"/>
          <w:szCs w:val="20"/>
          <w:lang w:val="en-GB"/>
        </w:rPr>
        <w:t xml:space="preserve"> and study potential issues and enhancements</w:t>
      </w:r>
      <w:r w:rsidRPr="00E75295">
        <w:rPr>
          <w:rFonts w:ascii="Times New Roman" w:hAnsi="Times New Roman"/>
          <w:b/>
          <w:bCs/>
          <w:sz w:val="20"/>
          <w:szCs w:val="20"/>
          <w:lang w:val="en-GB"/>
        </w:rPr>
        <w:t>.</w:t>
      </w:r>
    </w:p>
    <w:bookmarkEnd w:id="5"/>
    <w:p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rsidR="00A90536" w:rsidRDefault="00A90536" w:rsidP="00513357">
      <w:pPr>
        <w:spacing w:afterLines="50" w:after="156"/>
        <w:rPr>
          <w:rFonts w:ascii="Times New Roman" w:hAnsi="Times New Roman"/>
          <w:sz w:val="20"/>
          <w:szCs w:val="20"/>
        </w:rPr>
      </w:pPr>
      <w:r w:rsidRPr="00EB5C86">
        <w:rPr>
          <w:rFonts w:ascii="Times New Roman" w:hAnsi="Times New Roman"/>
          <w:sz w:val="20"/>
          <w:szCs w:val="20"/>
        </w:rPr>
        <w:t>In this contribution</w:t>
      </w:r>
      <w:r w:rsidR="00E75295" w:rsidRPr="00E75295">
        <w:rPr>
          <w:rFonts w:ascii="Times New Roman" w:hAnsi="Times New Roman"/>
          <w:sz w:val="20"/>
          <w:szCs w:val="20"/>
          <w:lang w:val="en-GB"/>
        </w:rPr>
        <w:t xml:space="preserve"> </w:t>
      </w:r>
      <w:r w:rsidR="00E75295">
        <w:rPr>
          <w:rFonts w:ascii="Times New Roman" w:hAnsi="Times New Roman"/>
          <w:sz w:val="20"/>
          <w:szCs w:val="20"/>
          <w:lang w:val="en-GB"/>
        </w:rPr>
        <w:t>we</w:t>
      </w:r>
      <w:r w:rsidR="000A1D50">
        <w:rPr>
          <w:rFonts w:ascii="Times New Roman" w:hAnsi="Times New Roman"/>
          <w:sz w:val="20"/>
          <w:szCs w:val="20"/>
          <w:lang w:val="en-GB"/>
        </w:rPr>
        <w:t xml:space="preserve"> give further discussion on applying PUR in IoT NTN.</w:t>
      </w:r>
      <w:r w:rsidR="00160536">
        <w:rPr>
          <w:rFonts w:ascii="Times New Roman" w:hAnsi="Times New Roman"/>
          <w:sz w:val="20"/>
          <w:szCs w:val="20"/>
        </w:rPr>
        <w:t xml:space="preserve"> T</w:t>
      </w:r>
      <w:r w:rsidR="00513357" w:rsidRPr="00EB5C86">
        <w:rPr>
          <w:rFonts w:ascii="Times New Roman" w:hAnsi="Times New Roman"/>
          <w:sz w:val="20"/>
          <w:szCs w:val="20"/>
        </w:rPr>
        <w:t>he following</w:t>
      </w:r>
      <w:r w:rsidR="007A72BF">
        <w:rPr>
          <w:rFonts w:ascii="Times New Roman" w:hAnsi="Times New Roman"/>
          <w:sz w:val="20"/>
          <w:szCs w:val="20"/>
        </w:rPr>
        <w:t xml:space="preserve"> </w:t>
      </w:r>
      <w:r w:rsidR="007A72BF">
        <w:rPr>
          <w:rFonts w:ascii="Times New Roman" w:hAnsi="Times New Roman" w:hint="eastAsia"/>
          <w:sz w:val="20"/>
          <w:szCs w:val="20"/>
        </w:rPr>
        <w:t>o</w:t>
      </w:r>
      <w:r w:rsidR="007A72BF">
        <w:rPr>
          <w:rFonts w:ascii="Times New Roman" w:hAnsi="Times New Roman"/>
          <w:sz w:val="20"/>
          <w:szCs w:val="20"/>
        </w:rPr>
        <w:t>b</w:t>
      </w:r>
      <w:r w:rsidR="007A72BF">
        <w:rPr>
          <w:rFonts w:ascii="Times New Roman" w:hAnsi="Times New Roman" w:hint="eastAsia"/>
          <w:sz w:val="20"/>
          <w:szCs w:val="20"/>
        </w:rPr>
        <w:t>servation</w:t>
      </w:r>
      <w:r w:rsidR="007A72BF">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rsidR="000A1D50" w:rsidRDefault="000A1D50" w:rsidP="00E75295">
      <w:pPr>
        <w:rPr>
          <w:rFonts w:ascii="Times New Roman" w:hAnsi="Times New Roman"/>
          <w:b/>
          <w:bCs/>
          <w:sz w:val="20"/>
          <w:szCs w:val="20"/>
          <w:lang w:val="en-GB"/>
        </w:rPr>
      </w:pPr>
      <w:r w:rsidRPr="000A1D50">
        <w:rPr>
          <w:rFonts w:ascii="Times New Roman" w:hAnsi="Times New Roman"/>
          <w:b/>
          <w:bCs/>
          <w:sz w:val="20"/>
          <w:szCs w:val="20"/>
          <w:lang w:val="en-GB"/>
        </w:rPr>
        <w:t>Observation 1: PUR can be beneficial to reduce data transmission/reception for IoT NTN.</w:t>
      </w:r>
    </w:p>
    <w:p w:rsidR="000A1D50" w:rsidRPr="000A1D50" w:rsidRDefault="000A1D50" w:rsidP="000A1D50">
      <w:pPr>
        <w:rPr>
          <w:rFonts w:ascii="Times New Roman" w:hAnsi="Times New Roman"/>
          <w:b/>
          <w:bCs/>
          <w:sz w:val="20"/>
          <w:szCs w:val="20"/>
          <w:lang w:val="en-GB"/>
        </w:rPr>
      </w:pPr>
      <w:r w:rsidRPr="000A1D50">
        <w:rPr>
          <w:rFonts w:ascii="Times New Roman" w:hAnsi="Times New Roman"/>
          <w:b/>
          <w:bCs/>
          <w:sz w:val="20"/>
          <w:szCs w:val="20"/>
          <w:lang w:val="en-GB"/>
        </w:rPr>
        <w:t>Observation</w:t>
      </w:r>
      <w:r>
        <w:rPr>
          <w:rFonts w:ascii="Times New Roman" w:hAnsi="Times New Roman"/>
          <w:b/>
          <w:bCs/>
          <w:sz w:val="20"/>
          <w:szCs w:val="20"/>
          <w:lang w:val="en-GB"/>
        </w:rPr>
        <w:t xml:space="preserve"> 2</w:t>
      </w:r>
      <w:r w:rsidRPr="000A1D50">
        <w:rPr>
          <w:rFonts w:ascii="Times New Roman" w:hAnsi="Times New Roman"/>
          <w:b/>
          <w:bCs/>
          <w:sz w:val="20"/>
          <w:szCs w:val="20"/>
          <w:lang w:val="en-GB"/>
        </w:rPr>
        <w:t xml:space="preserve">: </w:t>
      </w:r>
      <w:r>
        <w:rPr>
          <w:rFonts w:ascii="Times New Roman" w:hAnsi="Times New Roman"/>
          <w:b/>
          <w:bCs/>
          <w:sz w:val="20"/>
          <w:szCs w:val="20"/>
          <w:lang w:val="en-GB"/>
        </w:rPr>
        <w:t xml:space="preserve">Enhancements for using </w:t>
      </w:r>
      <w:r w:rsidRPr="000A1D50">
        <w:rPr>
          <w:rFonts w:ascii="Times New Roman" w:hAnsi="Times New Roman"/>
          <w:b/>
          <w:bCs/>
          <w:sz w:val="20"/>
          <w:szCs w:val="20"/>
          <w:lang w:val="en-GB"/>
        </w:rPr>
        <w:t xml:space="preserve">PUR </w:t>
      </w:r>
      <w:r>
        <w:rPr>
          <w:rFonts w:ascii="Times New Roman" w:hAnsi="Times New Roman"/>
          <w:b/>
          <w:bCs/>
          <w:sz w:val="20"/>
          <w:szCs w:val="20"/>
          <w:lang w:val="en-GB"/>
        </w:rPr>
        <w:t>are needed in</w:t>
      </w:r>
      <w:r w:rsidRPr="000A1D50">
        <w:rPr>
          <w:rFonts w:ascii="Times New Roman" w:hAnsi="Times New Roman"/>
          <w:b/>
          <w:bCs/>
          <w:sz w:val="20"/>
          <w:szCs w:val="20"/>
          <w:lang w:val="en-GB"/>
        </w:rPr>
        <w:t xml:space="preserve"> IoT NTN.</w:t>
      </w:r>
    </w:p>
    <w:p w:rsidR="00B75BC3" w:rsidRPr="00B75BC3" w:rsidRDefault="00B75BC3" w:rsidP="00B75BC3">
      <w:pPr>
        <w:rPr>
          <w:rFonts w:ascii="Times New Roman" w:hAnsi="Times New Roman"/>
          <w:sz w:val="20"/>
          <w:szCs w:val="20"/>
          <w:lang w:val="en-GB"/>
        </w:rPr>
      </w:pPr>
      <w:r w:rsidRPr="00B75BC3">
        <w:rPr>
          <w:rFonts w:ascii="Times New Roman" w:hAnsi="Times New Roman" w:hint="eastAsia"/>
          <w:sz w:val="20"/>
          <w:szCs w:val="20"/>
          <w:lang w:val="en-GB"/>
        </w:rPr>
        <w:t>A</w:t>
      </w:r>
      <w:r w:rsidRPr="00B75BC3">
        <w:rPr>
          <w:rFonts w:ascii="Times New Roman" w:hAnsi="Times New Roman"/>
          <w:sz w:val="20"/>
          <w:szCs w:val="20"/>
          <w:lang w:val="en-GB"/>
        </w:rPr>
        <w:t>nd we propose:</w:t>
      </w:r>
    </w:p>
    <w:p w:rsidR="00636295" w:rsidRPr="000A1D50" w:rsidRDefault="000A1D50" w:rsidP="00A15B81">
      <w:pPr>
        <w:rPr>
          <w:rFonts w:ascii="Times New Roman" w:hAnsi="Times New Roman"/>
          <w:b/>
          <w:bCs/>
          <w:sz w:val="20"/>
          <w:szCs w:val="20"/>
          <w:lang w:val="en-GB"/>
        </w:rPr>
      </w:pPr>
      <w:r w:rsidRPr="00E75295">
        <w:rPr>
          <w:rFonts w:ascii="Times New Roman" w:hAnsi="Times New Roman" w:hint="eastAsia"/>
          <w:b/>
          <w:bCs/>
          <w:sz w:val="20"/>
          <w:szCs w:val="20"/>
          <w:lang w:val="en-GB"/>
        </w:rPr>
        <w:t>P</w:t>
      </w:r>
      <w:r w:rsidRPr="00E75295">
        <w:rPr>
          <w:rFonts w:ascii="Times New Roman" w:hAnsi="Times New Roman"/>
          <w:b/>
          <w:bCs/>
          <w:sz w:val="20"/>
          <w:szCs w:val="20"/>
          <w:lang w:val="en-GB"/>
        </w:rPr>
        <w:t xml:space="preserve">roposal 1: RAN2 to </w:t>
      </w:r>
      <w:r>
        <w:rPr>
          <w:rFonts w:ascii="Times New Roman" w:hAnsi="Times New Roman"/>
          <w:b/>
          <w:bCs/>
          <w:sz w:val="20"/>
          <w:szCs w:val="20"/>
          <w:lang w:val="en-GB"/>
        </w:rPr>
        <w:t>consider support of PUR</w:t>
      </w:r>
      <w:r w:rsidRPr="00E75295">
        <w:rPr>
          <w:rFonts w:ascii="Times New Roman" w:hAnsi="Times New Roman"/>
          <w:b/>
          <w:bCs/>
          <w:sz w:val="20"/>
          <w:szCs w:val="20"/>
          <w:lang w:val="en-GB"/>
        </w:rPr>
        <w:t xml:space="preserve"> in IoT NTN</w:t>
      </w:r>
      <w:r>
        <w:rPr>
          <w:rFonts w:ascii="Times New Roman" w:hAnsi="Times New Roman"/>
          <w:b/>
          <w:bCs/>
          <w:sz w:val="20"/>
          <w:szCs w:val="20"/>
          <w:lang w:val="en-GB"/>
        </w:rPr>
        <w:t xml:space="preserve"> and study potential issues and enhancements</w:t>
      </w:r>
      <w:r w:rsidRPr="00E75295">
        <w:rPr>
          <w:rFonts w:ascii="Times New Roman" w:hAnsi="Times New Roman"/>
          <w:b/>
          <w:bCs/>
          <w:sz w:val="20"/>
          <w:szCs w:val="20"/>
          <w:lang w:val="en-GB"/>
        </w:rPr>
        <w:t>.</w:t>
      </w:r>
    </w:p>
    <w:sectPr w:rsidR="00636295" w:rsidRPr="000A1D50"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0097" w:rsidRDefault="00730097">
      <w:r>
        <w:separator/>
      </w:r>
    </w:p>
  </w:endnote>
  <w:endnote w:type="continuationSeparator" w:id="0">
    <w:p w:rsidR="00730097" w:rsidRDefault="00730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0097" w:rsidRDefault="00730097">
      <w:r>
        <w:separator/>
      </w:r>
    </w:p>
  </w:footnote>
  <w:footnote w:type="continuationSeparator" w:id="0">
    <w:p w:rsidR="00730097" w:rsidRDefault="007300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7AF6F16"/>
    <w:multiLevelType w:val="multilevel"/>
    <w:tmpl w:val="07AF6F16"/>
    <w:lvl w:ilvl="0">
      <w:start w:val="6"/>
      <w:numFmt w:val="bullet"/>
      <w:lvlText w:val="-"/>
      <w:lvlJc w:val="left"/>
      <w:pPr>
        <w:tabs>
          <w:tab w:val="left" w:pos="1080"/>
        </w:tabs>
        <w:ind w:left="1080" w:hanging="360"/>
      </w:pPr>
      <w:rPr>
        <w:rFonts w:ascii="Arial" w:eastAsia="MS Mincho" w:hAnsi="Arial" w:cs="Arial" w:hint="default"/>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BB5094"/>
    <w:multiLevelType w:val="multilevel"/>
    <w:tmpl w:val="2FBB50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5F2CAE"/>
    <w:multiLevelType w:val="hybridMultilevel"/>
    <w:tmpl w:val="92683B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B9E33F0"/>
    <w:multiLevelType w:val="hybridMultilevel"/>
    <w:tmpl w:val="53BCD66A"/>
    <w:lvl w:ilvl="0" w:tplc="B3D46AB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ECE5CC5"/>
    <w:multiLevelType w:val="hybridMultilevel"/>
    <w:tmpl w:val="7ADCE4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651C2740"/>
    <w:multiLevelType w:val="hybridMultilevel"/>
    <w:tmpl w:val="002251E6"/>
    <w:lvl w:ilvl="0" w:tplc="04090003">
      <w:start w:val="1"/>
      <w:numFmt w:val="bullet"/>
      <w:lvlText w:val=""/>
      <w:lvlJc w:val="left"/>
      <w:pPr>
        <w:ind w:left="2220" w:hanging="420"/>
      </w:pPr>
      <w:rPr>
        <w:rFonts w:ascii="Wingdings" w:hAnsi="Wingdings"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7"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8"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C15A2C"/>
    <w:multiLevelType w:val="hybridMultilevel"/>
    <w:tmpl w:val="21E48E08"/>
    <w:lvl w:ilvl="0" w:tplc="89EC9BAA">
      <w:start w:val="1"/>
      <w:numFmt w:val="upperLetter"/>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F8A1D02"/>
    <w:multiLevelType w:val="hybridMultilevel"/>
    <w:tmpl w:val="F9AA701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2"/>
  </w:num>
  <w:num w:numId="3">
    <w:abstractNumId w:val="32"/>
  </w:num>
  <w:num w:numId="4">
    <w:abstractNumId w:val="4"/>
  </w:num>
  <w:num w:numId="5">
    <w:abstractNumId w:val="33"/>
  </w:num>
  <w:num w:numId="6">
    <w:abstractNumId w:val="14"/>
  </w:num>
  <w:num w:numId="7">
    <w:abstractNumId w:val="10"/>
  </w:num>
  <w:num w:numId="8">
    <w:abstractNumId w:val="27"/>
  </w:num>
  <w:num w:numId="9">
    <w:abstractNumId w:val="6"/>
  </w:num>
  <w:num w:numId="10">
    <w:abstractNumId w:val="22"/>
  </w:num>
  <w:num w:numId="11">
    <w:abstractNumId w:val="24"/>
  </w:num>
  <w:num w:numId="12">
    <w:abstractNumId w:val="19"/>
  </w:num>
  <w:num w:numId="13">
    <w:abstractNumId w:val="25"/>
  </w:num>
  <w:num w:numId="14">
    <w:abstractNumId w:val="12"/>
  </w:num>
  <w:num w:numId="15">
    <w:abstractNumId w:val="3"/>
  </w:num>
  <w:num w:numId="16">
    <w:abstractNumId w:val="21"/>
  </w:num>
  <w:num w:numId="17">
    <w:abstractNumId w:val="29"/>
  </w:num>
  <w:num w:numId="18">
    <w:abstractNumId w:val="23"/>
  </w:num>
  <w:num w:numId="19">
    <w:abstractNumId w:val="29"/>
  </w:num>
  <w:num w:numId="20">
    <w:abstractNumId w:val="28"/>
  </w:num>
  <w:num w:numId="21">
    <w:abstractNumId w:val="29"/>
  </w:num>
  <w:num w:numId="22">
    <w:abstractNumId w:val="9"/>
  </w:num>
  <w:num w:numId="23">
    <w:abstractNumId w:val="29"/>
  </w:num>
  <w:num w:numId="24">
    <w:abstractNumId w:val="8"/>
  </w:num>
  <w:num w:numId="25">
    <w:abstractNumId w:val="7"/>
  </w:num>
  <w:num w:numId="26">
    <w:abstractNumId w:val="15"/>
  </w:num>
  <w:num w:numId="27">
    <w:abstractNumId w:val="30"/>
  </w:num>
  <w:num w:numId="28">
    <w:abstractNumId w:val="5"/>
  </w:num>
  <w:num w:numId="29">
    <w:abstractNumId w:val="26"/>
  </w:num>
  <w:num w:numId="30">
    <w:abstractNumId w:val="13"/>
  </w:num>
  <w:num w:numId="31">
    <w:abstractNumId w:val="34"/>
  </w:num>
  <w:num w:numId="32">
    <w:abstractNumId w:val="17"/>
  </w:num>
  <w:num w:numId="33">
    <w:abstractNumId w:val="1"/>
  </w:num>
  <w:num w:numId="34">
    <w:abstractNumId w:val="11"/>
  </w:num>
  <w:num w:numId="35">
    <w:abstractNumId w:val="0"/>
  </w:num>
  <w:num w:numId="36">
    <w:abstractNumId w:val="31"/>
  </w:num>
  <w:num w:numId="37">
    <w:abstractNumId w:val="16"/>
  </w:num>
  <w:num w:numId="38">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5483"/>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3AB6"/>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1D50"/>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6D39"/>
    <w:rsid w:val="000D72B8"/>
    <w:rsid w:val="000E0734"/>
    <w:rsid w:val="000E075B"/>
    <w:rsid w:val="000E1054"/>
    <w:rsid w:val="000E1A28"/>
    <w:rsid w:val="000E2844"/>
    <w:rsid w:val="000E2A2E"/>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1A3"/>
    <w:rsid w:val="0016157F"/>
    <w:rsid w:val="00163194"/>
    <w:rsid w:val="0016379F"/>
    <w:rsid w:val="00164393"/>
    <w:rsid w:val="00164650"/>
    <w:rsid w:val="00164837"/>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8A5"/>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3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6EE5"/>
    <w:rsid w:val="00357417"/>
    <w:rsid w:val="00360CF3"/>
    <w:rsid w:val="003612B3"/>
    <w:rsid w:val="003621DA"/>
    <w:rsid w:val="003624F8"/>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C16"/>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28D"/>
    <w:rsid w:val="00597476"/>
    <w:rsid w:val="005979F8"/>
    <w:rsid w:val="00597D24"/>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E0257"/>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713"/>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44DB"/>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097"/>
    <w:rsid w:val="00730402"/>
    <w:rsid w:val="00730A99"/>
    <w:rsid w:val="007314BF"/>
    <w:rsid w:val="0073178F"/>
    <w:rsid w:val="00731EA0"/>
    <w:rsid w:val="00732026"/>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B7DA9"/>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6A2"/>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5B72"/>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5602"/>
    <w:rsid w:val="008C57E6"/>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6A25"/>
    <w:rsid w:val="009C76C0"/>
    <w:rsid w:val="009C787D"/>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0BE"/>
    <w:rsid w:val="009F5112"/>
    <w:rsid w:val="009F5388"/>
    <w:rsid w:val="009F6205"/>
    <w:rsid w:val="009F626A"/>
    <w:rsid w:val="009F724F"/>
    <w:rsid w:val="009F74E1"/>
    <w:rsid w:val="009F7CD0"/>
    <w:rsid w:val="009F7FDB"/>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6DAA"/>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96C"/>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4F08"/>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4DA"/>
    <w:rsid w:val="00C3081D"/>
    <w:rsid w:val="00C30FC7"/>
    <w:rsid w:val="00C315D8"/>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392"/>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5B00"/>
    <w:rsid w:val="00CF62CC"/>
    <w:rsid w:val="00CF6889"/>
    <w:rsid w:val="00CF6C6B"/>
    <w:rsid w:val="00CF76D0"/>
    <w:rsid w:val="00D00618"/>
    <w:rsid w:val="00D00A1C"/>
    <w:rsid w:val="00D00DE8"/>
    <w:rsid w:val="00D03ABB"/>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0A25"/>
    <w:rsid w:val="00E31785"/>
    <w:rsid w:val="00E321F2"/>
    <w:rsid w:val="00E32BE7"/>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295"/>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1F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64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01D"/>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1D50"/>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32"/>
      </w:numPr>
      <w:spacing w:before="40"/>
      <w:jc w:val="left"/>
    </w:pPr>
    <w:rPr>
      <w:rFonts w:ascii="Arial" w:hAnsi="Arial" w:cs="Arial"/>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8.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A04F60-54DA-4FBC-A78A-E9BE3E64C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856</TotalTime>
  <Pages>2</Pages>
  <Words>804</Words>
  <Characters>4589</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49</cp:revision>
  <cp:lastPrinted>2012-10-30T00:20:00Z</cp:lastPrinted>
  <dcterms:created xsi:type="dcterms:W3CDTF">2020-08-03T07:44:00Z</dcterms:created>
  <dcterms:modified xsi:type="dcterms:W3CDTF">2021-01-15T00:45:00Z</dcterms:modified>
</cp:coreProperties>
</file>